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9143F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FC63A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FC63A8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FC63A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D76EB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="0040271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C666E8" w:rsidRDefault="003A6297" w:rsidP="00C666E8">
      <w:pPr>
        <w:pStyle w:val="a3"/>
        <w:spacing w:before="321" w:line="360" w:lineRule="auto"/>
        <w:ind w:left="-284" w:right="-284" w:firstLine="710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402714" w:rsidRPr="00EE1980">
        <w:rPr>
          <w:sz w:val="28"/>
          <w:szCs w:val="28"/>
        </w:rPr>
        <w:t xml:space="preserve">   </w:t>
      </w:r>
      <w:r w:rsidR="00402714"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>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C63A8">
        <w:rPr>
          <w:sz w:val="28"/>
          <w:szCs w:val="28"/>
        </w:rPr>
        <w:t>, Законами</w:t>
      </w:r>
      <w:r w:rsidR="00402714">
        <w:rPr>
          <w:sz w:val="28"/>
          <w:szCs w:val="28"/>
        </w:rPr>
        <w:t xml:space="preserve"> Воронежской области от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>07.07.2006 №61-ОЗ «</w:t>
      </w:r>
      <w:r w:rsidR="00DE5D98">
        <w:rPr>
          <w:sz w:val="28"/>
          <w:szCs w:val="28"/>
        </w:rPr>
        <w:t>О регу</w:t>
      </w:r>
      <w:r w:rsidR="00FC63A8">
        <w:rPr>
          <w:sz w:val="28"/>
          <w:szCs w:val="28"/>
        </w:rPr>
        <w:t>лировании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 xml:space="preserve">градостроительной деятельности в Воронежской области», </w:t>
      </w:r>
      <w:r w:rsidR="00402714">
        <w:rPr>
          <w:sz w:val="28"/>
          <w:szCs w:val="28"/>
        </w:rPr>
        <w:t xml:space="preserve"> 20.12.2018 № 173-ОЗ «О перераспределении полномочий по утверждению правил землепользования и застройки между органами местного самоуправления</w:t>
      </w:r>
      <w:proofErr w:type="gramEnd"/>
      <w:r w:rsidR="00402714"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 xml:space="preserve">поселений Воронежской области, городского округа </w:t>
      </w:r>
      <w:proofErr w:type="spellStart"/>
      <w:r w:rsidR="00402714">
        <w:rPr>
          <w:sz w:val="28"/>
          <w:szCs w:val="28"/>
        </w:rPr>
        <w:t>Нововоронеж</w:t>
      </w:r>
      <w:proofErr w:type="spellEnd"/>
      <w:r w:rsidR="00402714">
        <w:rPr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</w:t>
      </w:r>
      <w:r w:rsidR="00DE5D98">
        <w:rPr>
          <w:sz w:val="28"/>
          <w:szCs w:val="28"/>
        </w:rPr>
        <w:t xml:space="preserve"> приказом</w:t>
      </w:r>
      <w:r w:rsidR="00FC63A8">
        <w:rPr>
          <w:sz w:val="28"/>
          <w:szCs w:val="28"/>
        </w:rPr>
        <w:t xml:space="preserve"> департамента архитектуры и градостроительства Воронежской области от 07.03.2023 № 45-01-04/146 «О подготовке проектов о внесении изменений в правила землепользования  и застройки </w:t>
      </w:r>
      <w:r w:rsidR="00DE5D98">
        <w:rPr>
          <w:sz w:val="28"/>
          <w:szCs w:val="28"/>
        </w:rPr>
        <w:t xml:space="preserve">поселений Аннинского, Бобровского, Грибановского, </w:t>
      </w:r>
      <w:proofErr w:type="spellStart"/>
      <w:r w:rsidR="00DE5D98">
        <w:rPr>
          <w:sz w:val="28"/>
          <w:szCs w:val="28"/>
        </w:rPr>
        <w:t>Калачеевского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Новоусманского</w:t>
      </w:r>
      <w:proofErr w:type="spellEnd"/>
      <w:r w:rsidR="00DE5D98">
        <w:rPr>
          <w:sz w:val="28"/>
          <w:szCs w:val="28"/>
        </w:rPr>
        <w:t xml:space="preserve">, Новохопёрского, Петропавловского, </w:t>
      </w:r>
      <w:proofErr w:type="spellStart"/>
      <w:r w:rsidR="00DE5D98">
        <w:rPr>
          <w:sz w:val="28"/>
          <w:szCs w:val="28"/>
        </w:rPr>
        <w:t>Таловского</w:t>
      </w:r>
      <w:proofErr w:type="spellEnd"/>
      <w:r w:rsidR="00DE5D98">
        <w:rPr>
          <w:sz w:val="28"/>
          <w:szCs w:val="28"/>
        </w:rPr>
        <w:t xml:space="preserve">, Терновского, </w:t>
      </w:r>
      <w:proofErr w:type="spellStart"/>
      <w:r w:rsidR="00DE5D98">
        <w:rPr>
          <w:sz w:val="28"/>
          <w:szCs w:val="28"/>
        </w:rPr>
        <w:t>Богучарского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Бутурлиновского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Верхнемамонского</w:t>
      </w:r>
      <w:proofErr w:type="spellEnd"/>
      <w:r w:rsidR="00DE5D98">
        <w:rPr>
          <w:sz w:val="28"/>
          <w:szCs w:val="28"/>
        </w:rPr>
        <w:t xml:space="preserve">, Кантемировского, Каширского, </w:t>
      </w:r>
      <w:proofErr w:type="spellStart"/>
      <w:r w:rsidR="00DE5D98">
        <w:rPr>
          <w:sz w:val="28"/>
          <w:szCs w:val="28"/>
        </w:rPr>
        <w:t>Нижнедевицкого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Ольховатского</w:t>
      </w:r>
      <w:proofErr w:type="spellEnd"/>
      <w:r w:rsidR="00DE5D98">
        <w:rPr>
          <w:sz w:val="28"/>
          <w:szCs w:val="28"/>
        </w:rPr>
        <w:t xml:space="preserve">, Павловского, </w:t>
      </w:r>
      <w:proofErr w:type="spellStart"/>
      <w:r w:rsidR="00DE5D98">
        <w:rPr>
          <w:sz w:val="28"/>
          <w:szCs w:val="28"/>
        </w:rPr>
        <w:t>Рамонского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Репьевского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Россошанского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Семилукского</w:t>
      </w:r>
      <w:proofErr w:type="spellEnd"/>
      <w:proofErr w:type="gramEnd"/>
      <w:r w:rsidR="00DE5D98">
        <w:rPr>
          <w:sz w:val="28"/>
          <w:szCs w:val="28"/>
        </w:rPr>
        <w:t xml:space="preserve">, </w:t>
      </w:r>
      <w:proofErr w:type="gramStart"/>
      <w:r w:rsidR="00DE5D98">
        <w:rPr>
          <w:sz w:val="28"/>
          <w:szCs w:val="28"/>
        </w:rPr>
        <w:t xml:space="preserve">Хохольского, Лискинского, </w:t>
      </w:r>
      <w:proofErr w:type="spellStart"/>
      <w:r w:rsidR="00DE5D98">
        <w:rPr>
          <w:sz w:val="28"/>
          <w:szCs w:val="28"/>
        </w:rPr>
        <w:t>Острогожского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Панинского</w:t>
      </w:r>
      <w:proofErr w:type="spellEnd"/>
      <w:r w:rsidR="00DE5D98">
        <w:rPr>
          <w:sz w:val="28"/>
          <w:szCs w:val="28"/>
        </w:rPr>
        <w:t xml:space="preserve">, </w:t>
      </w:r>
      <w:proofErr w:type="spellStart"/>
      <w:r w:rsidR="00DE5D98">
        <w:rPr>
          <w:sz w:val="28"/>
          <w:szCs w:val="28"/>
        </w:rPr>
        <w:t>Поворинского</w:t>
      </w:r>
      <w:proofErr w:type="spellEnd"/>
      <w:r w:rsidR="00DE5D98">
        <w:rPr>
          <w:sz w:val="28"/>
          <w:szCs w:val="28"/>
        </w:rPr>
        <w:t xml:space="preserve">, Подгоренского, </w:t>
      </w:r>
      <w:proofErr w:type="spellStart"/>
      <w:r w:rsidR="00DE5D98">
        <w:rPr>
          <w:sz w:val="28"/>
          <w:szCs w:val="28"/>
        </w:rPr>
        <w:t>Эртильского</w:t>
      </w:r>
      <w:proofErr w:type="spellEnd"/>
      <w:r w:rsidR="00DE5D98">
        <w:rPr>
          <w:sz w:val="28"/>
          <w:szCs w:val="28"/>
        </w:rPr>
        <w:t xml:space="preserve">, Каменского муниципальных </w:t>
      </w:r>
      <w:r w:rsidR="00DE5D98">
        <w:rPr>
          <w:sz w:val="28"/>
          <w:szCs w:val="28"/>
        </w:rPr>
        <w:lastRenderedPageBreak/>
        <w:t xml:space="preserve">районов Воронежской области» (в редакции приказов департамента архитектуры и градостроительства Воронежской области от 23.06.2023 №45-01-04/568, от 25.09.2023 № 45-01-04/568, от 25.09.2023 № 45-01-04/950, приказа министерства архитектуры и градостроительства Воронежской области от 17.11.2023 № 45-01-04/1159), 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 xml:space="preserve">атьей </w:t>
      </w:r>
      <w:r w:rsidR="00402714" w:rsidRPr="00EE1980">
        <w:rPr>
          <w:sz w:val="28"/>
          <w:szCs w:val="28"/>
        </w:rPr>
        <w:t xml:space="preserve">75 Устава городского </w:t>
      </w:r>
      <w:proofErr w:type="spellStart"/>
      <w:r w:rsidR="00402714" w:rsidRPr="00EE1980">
        <w:rPr>
          <w:sz w:val="28"/>
          <w:szCs w:val="28"/>
        </w:rPr>
        <w:t>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</w:t>
      </w:r>
      <w:proofErr w:type="spellEnd"/>
      <w:r w:rsidR="00402714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Решением Совета народных депутатов городского</w:t>
      </w:r>
      <w:proofErr w:type="gramEnd"/>
      <w:r w:rsidR="00402714" w:rsidRPr="00EE1980">
        <w:rPr>
          <w:sz w:val="28"/>
          <w:szCs w:val="28"/>
        </w:rPr>
        <w:t xml:space="preserve"> поселения город Лиски Лискинского муниципального района Воронежской области от </w:t>
      </w:r>
      <w:r w:rsidR="00402714" w:rsidRPr="002B54B9">
        <w:rPr>
          <w:sz w:val="28"/>
          <w:szCs w:val="28"/>
        </w:rPr>
        <w:t>05.04.2019</w:t>
      </w:r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 xml:space="preserve">, глава городского </w:t>
      </w:r>
      <w:proofErr w:type="spellStart"/>
      <w:r w:rsidR="00402714">
        <w:rPr>
          <w:sz w:val="28"/>
          <w:szCs w:val="28"/>
        </w:rPr>
        <w:t>поселения-город</w:t>
      </w:r>
      <w:proofErr w:type="spellEnd"/>
      <w:r w:rsidR="00402714"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 </w:t>
      </w:r>
      <w:proofErr w:type="spellStart"/>
      <w:proofErr w:type="gramStart"/>
      <w:r w:rsidR="00402714">
        <w:rPr>
          <w:b/>
          <w:w w:val="107"/>
          <w:sz w:val="28"/>
          <w:szCs w:val="28"/>
        </w:rPr>
        <w:t>п</w:t>
      </w:r>
      <w:proofErr w:type="spellEnd"/>
      <w:proofErr w:type="gramEnd"/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 xml:space="preserve">о с т а </w:t>
      </w:r>
      <w:proofErr w:type="spellStart"/>
      <w:r w:rsidR="00402714">
        <w:rPr>
          <w:b/>
          <w:w w:val="107"/>
          <w:sz w:val="28"/>
          <w:szCs w:val="28"/>
        </w:rPr>
        <w:t>н</w:t>
      </w:r>
      <w:proofErr w:type="spellEnd"/>
      <w:r w:rsidR="00402714">
        <w:rPr>
          <w:b/>
          <w:w w:val="107"/>
          <w:sz w:val="28"/>
          <w:szCs w:val="28"/>
        </w:rPr>
        <w:t xml:space="preserve">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Приказа </w:t>
      </w:r>
      <w:r w:rsidR="00590C49">
        <w:rPr>
          <w:rFonts w:ascii="Times New Roman" w:hAnsi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/>
          <w:sz w:val="28"/>
          <w:szCs w:val="28"/>
        </w:rPr>
        <w:t>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</w:t>
      </w:r>
      <w:r w:rsidR="00590C49">
        <w:rPr>
          <w:rFonts w:ascii="Times New Roman" w:hAnsi="Times New Roman"/>
          <w:sz w:val="28"/>
          <w:szCs w:val="28"/>
        </w:rPr>
        <w:t xml:space="preserve">застройки городского </w:t>
      </w:r>
      <w:proofErr w:type="spellStart"/>
      <w:proofErr w:type="gramStart"/>
      <w:r w:rsidR="00590C49">
        <w:rPr>
          <w:rFonts w:ascii="Times New Roman" w:hAnsi="Times New Roman"/>
          <w:sz w:val="28"/>
          <w:szCs w:val="28"/>
        </w:rPr>
        <w:t>поселения-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</w:t>
      </w:r>
      <w:r w:rsidR="00590C4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0</w:t>
      </w:r>
      <w:r w:rsidR="00590C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0C4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590C4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3.Собрание участников публичных слушаний назначить на </w:t>
      </w:r>
      <w:r w:rsidR="00590C49">
        <w:rPr>
          <w:rFonts w:ascii="Times New Roman" w:hAnsi="Times New Roman"/>
          <w:sz w:val="28"/>
          <w:szCs w:val="28"/>
        </w:rPr>
        <w:t>27.03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 (5 этаж).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публичные слушания, проводимые в срок с 0</w:t>
      </w:r>
      <w:r w:rsidR="00590C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90C4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 г. по 27</w:t>
      </w:r>
      <w:r>
        <w:rPr>
          <w:rFonts w:ascii="Times New Roman" w:hAnsi="Times New Roman"/>
          <w:sz w:val="28"/>
          <w:szCs w:val="28"/>
        </w:rPr>
        <w:t>.</w:t>
      </w:r>
      <w:r w:rsidR="00590C49">
        <w:rPr>
          <w:rFonts w:ascii="Times New Roman" w:hAnsi="Times New Roman"/>
          <w:sz w:val="28"/>
          <w:szCs w:val="28"/>
        </w:rPr>
        <w:t>03.</w:t>
      </w:r>
      <w:r>
        <w:rPr>
          <w:rFonts w:ascii="Times New Roman" w:hAnsi="Times New Roman"/>
          <w:sz w:val="28"/>
          <w:szCs w:val="28"/>
        </w:rPr>
        <w:t>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E1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</w:t>
      </w:r>
      <w:r>
        <w:rPr>
          <w:rFonts w:ascii="Times New Roman" w:hAnsi="Times New Roman"/>
          <w:sz w:val="28"/>
          <w:szCs w:val="28"/>
        </w:rPr>
        <w:lastRenderedPageBreak/>
        <w:t xml:space="preserve">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 xml:space="preserve">Проект 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AA7250">
        <w:rPr>
          <w:rFonts w:ascii="Times New Roman" w:hAnsi="Times New Roman"/>
          <w:sz w:val="28"/>
          <w:szCs w:val="28"/>
        </w:rPr>
        <w:t xml:space="preserve">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C666E8">
        <w:rPr>
          <w:rFonts w:ascii="Times New Roman" w:hAnsi="Times New Roman"/>
          <w:sz w:val="28"/>
          <w:szCs w:val="28"/>
        </w:rPr>
        <w:t>0</w:t>
      </w:r>
      <w:r w:rsidR="00590C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590C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0C4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A2466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(кроме выходных </w:t>
      </w:r>
      <w:r w:rsidR="00A24660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>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C666E8">
        <w:rPr>
          <w:rFonts w:ascii="Times New Roman" w:hAnsi="Times New Roman"/>
          <w:sz w:val="28"/>
          <w:szCs w:val="28"/>
        </w:rPr>
        <w:t>0</w:t>
      </w:r>
      <w:r w:rsidR="00A246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A246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2466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A246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с 14.00 до 16.00. (кроме выходных дней).</w:t>
      </w:r>
    </w:p>
    <w:p w:rsidR="00402714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Проект, подлежащий рассмотрению на публичных слушаниях, информация о дате, времени и месте проведения собрания участников публичных </w:t>
      </w:r>
      <w:r>
        <w:rPr>
          <w:rFonts w:ascii="Times New Roman" w:hAnsi="Times New Roman"/>
          <w:sz w:val="28"/>
          <w:szCs w:val="28"/>
        </w:rPr>
        <w:lastRenderedPageBreak/>
        <w:t>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C666E8">
      <w:pPr>
        <w:pStyle w:val="ConsPlusNormal"/>
        <w:spacing w:before="240" w:line="360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A24660">
        <w:rPr>
          <w:rFonts w:ascii="Times New Roman" w:hAnsi="Times New Roman"/>
          <w:sz w:val="28"/>
          <w:szCs w:val="28"/>
        </w:rPr>
        <w:t>27.03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32, 5 этаж, малый конференц-зал.</w:t>
      </w:r>
    </w:p>
    <w:p w:rsidR="00C666E8" w:rsidRDefault="00402714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DE69EF" w:rsidRDefault="00DE69EF" w:rsidP="00C666E8">
      <w:pPr>
        <w:pStyle w:val="ConsPlusNormal"/>
        <w:spacing w:line="360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</w:p>
    <w:p w:rsidR="006A7BB5" w:rsidRDefault="003A6297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A24660" w:rsidRDefault="00A24660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Pr="00936791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A24660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A24660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A24660" w:rsidRDefault="00A24660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DE69EF" w:rsidRDefault="00DE69EF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9727D6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27D6" w:rsidRDefault="009727D6" w:rsidP="009727D6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C666E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sectPr w:rsidR="00276A88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1DBB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4EB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05FC-B3E9-4006-8F49-6EFB6C19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2024-04-02T05:27:00Z</cp:lastPrinted>
  <dcterms:created xsi:type="dcterms:W3CDTF">2024-04-08T10:47:00Z</dcterms:created>
  <dcterms:modified xsi:type="dcterms:W3CDTF">2024-04-08T10:47:00Z</dcterms:modified>
</cp:coreProperties>
</file>